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5" w:rsidRDefault="007C3F65" w:rsidP="007C3F65">
      <w:pPr>
        <w:autoSpaceDE w:val="0"/>
        <w:autoSpaceDN w:val="0"/>
        <w:adjustRightInd w:val="0"/>
        <w:spacing w:after="0" w:line="240" w:lineRule="auto"/>
        <w:ind w:left="261" w:right="261"/>
        <w:jc w:val="center"/>
        <w:rPr>
          <w:rFonts w:ascii="Arial" w:hAnsi="Arial"/>
          <w:b/>
          <w:color w:val="00008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-121285</wp:posOffset>
            </wp:positionV>
            <wp:extent cx="1600200" cy="147066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COMISIÓN ZONAL DE SALUD, SEGURIDAD E HIGIENE INDUSTRIAL DE SAN LORENZO</w:t>
      </w:r>
    </w:p>
    <w:p w:rsidR="007C3F65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7C3F65" w:rsidRPr="00465094" w:rsidRDefault="007C3F65" w:rsidP="007C3F65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  <w:r w:rsidRPr="00465094">
        <w:rPr>
          <w:rFonts w:ascii="Arial" w:hAnsi="Arial"/>
          <w:b/>
          <w:color w:val="000000"/>
          <w:lang w:val="es-MX"/>
        </w:rPr>
        <w:t>ACTA DE  REUNIÓN</w:t>
      </w:r>
      <w:r>
        <w:rPr>
          <w:rFonts w:ascii="Arial" w:hAnsi="Arial"/>
          <w:b/>
          <w:color w:val="000000"/>
          <w:lang w:val="es-MX"/>
        </w:rPr>
        <w:t xml:space="preserve"> DEL 11/3/2014</w:t>
      </w:r>
    </w:p>
    <w:p w:rsidR="007C3F65" w:rsidRDefault="007C3F65" w:rsidP="007C3F65">
      <w:pPr>
        <w:spacing w:after="0" w:line="240" w:lineRule="auto"/>
        <w:jc w:val="both"/>
        <w:rPr>
          <w:b/>
        </w:rPr>
      </w:pPr>
    </w:p>
    <w:p w:rsidR="007C3F65" w:rsidRPr="00B32551" w:rsidRDefault="007C3F65" w:rsidP="007C3F65">
      <w:pPr>
        <w:spacing w:after="0" w:line="240" w:lineRule="auto"/>
        <w:jc w:val="both"/>
        <w:rPr>
          <w:b/>
        </w:rPr>
      </w:pPr>
      <w:r w:rsidRPr="00B32551">
        <w:rPr>
          <w:b/>
        </w:rPr>
        <w:t>Asisten:</w:t>
      </w:r>
    </w:p>
    <w:p w:rsidR="007C3F65" w:rsidRDefault="007C3F65" w:rsidP="007C3F65">
      <w:pPr>
        <w:spacing w:after="0" w:line="240" w:lineRule="auto"/>
        <w:jc w:val="both"/>
      </w:pPr>
      <w:r>
        <w:t>Carlos Farnese, por Petrobras</w:t>
      </w:r>
    </w:p>
    <w:p w:rsidR="007C3F65" w:rsidRDefault="007C3F65" w:rsidP="007C3F65">
      <w:pPr>
        <w:spacing w:after="0" w:line="240" w:lineRule="auto"/>
        <w:jc w:val="both"/>
      </w:pPr>
      <w:r>
        <w:t>Soraya Kabbas e Ignacio Villar por Dow Química</w:t>
      </w:r>
    </w:p>
    <w:p w:rsidR="007C3F65" w:rsidRDefault="007C3F65" w:rsidP="007C3F65">
      <w:pPr>
        <w:spacing w:after="0" w:line="240" w:lineRule="auto"/>
        <w:jc w:val="both"/>
      </w:pPr>
      <w:r>
        <w:t xml:space="preserve">Miriam Mendoza por Bunge PGSM  </w:t>
      </w:r>
    </w:p>
    <w:p w:rsidR="007C3F65" w:rsidRDefault="007C3F65" w:rsidP="007C3F65">
      <w:pPr>
        <w:spacing w:after="0" w:line="240" w:lineRule="auto"/>
        <w:jc w:val="both"/>
      </w:pPr>
      <w:r>
        <w:t>Pablo Di Paolo, por Ar Zinc</w:t>
      </w:r>
    </w:p>
    <w:p w:rsidR="007C3F65" w:rsidRDefault="007C3F65" w:rsidP="007C3F65">
      <w:pPr>
        <w:spacing w:after="0" w:line="240" w:lineRule="auto"/>
        <w:jc w:val="both"/>
      </w:pPr>
      <w:r>
        <w:t xml:space="preserve">Emanuel </w:t>
      </w:r>
      <w:proofErr w:type="spellStart"/>
      <w:r>
        <w:t>Urraburo</w:t>
      </w:r>
      <w:proofErr w:type="spellEnd"/>
      <w:r>
        <w:t xml:space="preserve">, por YPF </w:t>
      </w:r>
    </w:p>
    <w:p w:rsidR="007C3F65" w:rsidRDefault="007C3F65" w:rsidP="007C3F65">
      <w:pPr>
        <w:spacing w:after="0" w:line="240" w:lineRule="auto"/>
        <w:jc w:val="both"/>
      </w:pPr>
      <w:r>
        <w:t xml:space="preserve">M Celeste Ceballos, por Alto Paraná </w:t>
      </w:r>
    </w:p>
    <w:p w:rsidR="007C3F65" w:rsidRDefault="007C3F65" w:rsidP="007C3F65">
      <w:pPr>
        <w:spacing w:after="0" w:line="240" w:lineRule="auto"/>
        <w:jc w:val="both"/>
      </w:pPr>
      <w:r>
        <w:t xml:space="preserve">Giagnorio Carlos, por Oil Combustibles </w:t>
      </w:r>
    </w:p>
    <w:p w:rsidR="007C3F65" w:rsidRDefault="007C3F65" w:rsidP="007C3F65">
      <w:pPr>
        <w:spacing w:after="0" w:line="240" w:lineRule="auto"/>
        <w:jc w:val="both"/>
      </w:pPr>
      <w:r>
        <w:t xml:space="preserve">Carolina Galiano, por </w:t>
      </w:r>
      <w:proofErr w:type="spellStart"/>
      <w:r>
        <w:t>Axión</w:t>
      </w:r>
      <w:proofErr w:type="spellEnd"/>
    </w:p>
    <w:p w:rsidR="007C3F65" w:rsidRDefault="007C3F65" w:rsidP="007C3F65">
      <w:pPr>
        <w:spacing w:after="0" w:line="240" w:lineRule="auto"/>
        <w:jc w:val="both"/>
      </w:pPr>
      <w:r>
        <w:t xml:space="preserve">Lucas </w:t>
      </w:r>
      <w:proofErr w:type="spellStart"/>
      <w:r>
        <w:t>Carrozzone</w:t>
      </w:r>
      <w:proofErr w:type="spellEnd"/>
      <w:r>
        <w:t>, por FM</w:t>
      </w:r>
    </w:p>
    <w:p w:rsidR="007C3F65" w:rsidRDefault="007C3F65" w:rsidP="007C3F65">
      <w:pPr>
        <w:spacing w:after="0" w:line="240" w:lineRule="auto"/>
        <w:jc w:val="both"/>
      </w:pPr>
      <w:r>
        <w:t xml:space="preserve">Roberto Valdez, </w:t>
      </w:r>
      <w:proofErr w:type="spellStart"/>
      <w:r>
        <w:t>poFM</w:t>
      </w:r>
      <w:proofErr w:type="spellEnd"/>
    </w:p>
    <w:p w:rsidR="007C3F65" w:rsidRDefault="007C3F65" w:rsidP="007C3F65">
      <w:pPr>
        <w:spacing w:after="0" w:line="240" w:lineRule="auto"/>
        <w:jc w:val="both"/>
      </w:pPr>
      <w:r>
        <w:t xml:space="preserve">Javier Garcia, por </w:t>
      </w:r>
      <w:proofErr w:type="spellStart"/>
      <w:r>
        <w:t>Mosaic</w:t>
      </w:r>
      <w:proofErr w:type="spellEnd"/>
    </w:p>
    <w:p w:rsidR="007C3F65" w:rsidRDefault="007C3F65" w:rsidP="007C3F65">
      <w:pPr>
        <w:spacing w:after="0" w:line="240" w:lineRule="auto"/>
        <w:jc w:val="both"/>
      </w:pPr>
      <w:r>
        <w:t>José Clavero, por Cargill</w:t>
      </w:r>
    </w:p>
    <w:p w:rsidR="007C3F65" w:rsidRPr="00030601" w:rsidRDefault="00CD5D07" w:rsidP="007C3F65">
      <w:pPr>
        <w:spacing w:after="0" w:line="240" w:lineRule="auto"/>
        <w:jc w:val="both"/>
      </w:pPr>
      <w:r>
        <w:t xml:space="preserve">Lourdes Romero, </w:t>
      </w:r>
      <w:r w:rsidR="007C3F65">
        <w:t xml:space="preserve">Gabriel Abbo, </w:t>
      </w:r>
      <w:r>
        <w:t xml:space="preserve"> Antonio </w:t>
      </w:r>
      <w:proofErr w:type="spellStart"/>
      <w:r>
        <w:t>Cristofaro</w:t>
      </w:r>
      <w:proofErr w:type="spellEnd"/>
      <w:r>
        <w:t xml:space="preserve">,  </w:t>
      </w:r>
      <w:r w:rsidR="007C3F65" w:rsidRPr="00030601">
        <w:t>por Cámara</w:t>
      </w:r>
      <w:r w:rsidR="007C3F65">
        <w:t xml:space="preserve"> SL. </w:t>
      </w:r>
    </w:p>
    <w:p w:rsidR="007C3F65" w:rsidRDefault="007C3F65" w:rsidP="007C3F65">
      <w:pPr>
        <w:spacing w:after="0" w:line="240" w:lineRule="auto"/>
        <w:jc w:val="both"/>
      </w:pPr>
    </w:p>
    <w:p w:rsidR="007C3F65" w:rsidRDefault="007C3F65" w:rsidP="007C3F65">
      <w:pPr>
        <w:spacing w:after="0" w:line="240" w:lineRule="auto"/>
        <w:jc w:val="both"/>
        <w:rPr>
          <w:b/>
        </w:rPr>
      </w:pPr>
    </w:p>
    <w:p w:rsidR="007C3F65" w:rsidRDefault="007C3F65" w:rsidP="007C3F65">
      <w:pPr>
        <w:spacing w:after="0" w:line="240" w:lineRule="auto"/>
        <w:jc w:val="both"/>
        <w:rPr>
          <w:b/>
        </w:rPr>
      </w:pPr>
      <w:r w:rsidRPr="00B32551">
        <w:rPr>
          <w:b/>
        </w:rPr>
        <w:t>Principales temas tratados:</w:t>
      </w:r>
    </w:p>
    <w:p w:rsidR="007C3F65" w:rsidRDefault="007C3F65" w:rsidP="007C3F65">
      <w:pPr>
        <w:spacing w:after="0" w:line="240" w:lineRule="auto"/>
        <w:jc w:val="both"/>
        <w:rPr>
          <w:b/>
        </w:rPr>
      </w:pPr>
    </w:p>
    <w:p w:rsidR="00CD5D07" w:rsidRDefault="007C3F65" w:rsidP="00CD5D07">
      <w:pPr>
        <w:spacing w:after="0" w:line="240" w:lineRule="auto"/>
        <w:jc w:val="both"/>
      </w:pPr>
      <w:r w:rsidRPr="00A14BF0">
        <w:t xml:space="preserve">En primer lugar </w:t>
      </w:r>
      <w:r w:rsidR="000470ED">
        <w:t>se solicitó</w:t>
      </w:r>
      <w:r w:rsidR="00CD5D07">
        <w:t xml:space="preserve"> nuevamente a las sub comisiones tenga</w:t>
      </w:r>
      <w:r w:rsidR="00D81E4E">
        <w:t>n</w:t>
      </w:r>
      <w:r w:rsidR="00CD5D07">
        <w:t xml:space="preserve"> a bien enviar vía e-mail un documento donde consten los objetivos de cada una de ellas, asimismo desde la Cámara se </w:t>
      </w:r>
      <w:r w:rsidR="000470ED">
        <w:t>requirió</w:t>
      </w:r>
      <w:r w:rsidR="00D81E4E">
        <w:t xml:space="preserve"> procedan a </w:t>
      </w:r>
      <w:r w:rsidR="00CD5D07">
        <w:t xml:space="preserve">confirmar la participación en las reuniones de sub comisiones de manera tal de optimizar el funcionamiento </w:t>
      </w:r>
      <w:r w:rsidR="000470ED">
        <w:t xml:space="preserve">de las mismas </w:t>
      </w:r>
      <w:r w:rsidR="00CD5D07">
        <w:t>y</w:t>
      </w:r>
      <w:r w:rsidR="00D81E4E">
        <w:t xml:space="preserve"> facilitar la coordinación</w:t>
      </w:r>
      <w:r w:rsidR="00CD5D07">
        <w:t>.</w:t>
      </w:r>
    </w:p>
    <w:p w:rsidR="00D26D33" w:rsidRDefault="000470ED" w:rsidP="00CD5D07">
      <w:pPr>
        <w:spacing w:after="0" w:line="240" w:lineRule="auto"/>
        <w:jc w:val="both"/>
      </w:pPr>
      <w:r>
        <w:t>En otro orden d</w:t>
      </w:r>
      <w:r w:rsidR="00D26D33">
        <w:t xml:space="preserve">esde la Cámara se planteo la posibilidad de recibir todo tipo de documento generado por las sub comisiones </w:t>
      </w:r>
      <w:r w:rsidR="00D81E4E">
        <w:t xml:space="preserve">para que </w:t>
      </w:r>
      <w:r w:rsidR="00D26D33">
        <w:t>se</w:t>
      </w:r>
      <w:r w:rsidR="00D81E4E">
        <w:t>r</w:t>
      </w:r>
      <w:r w:rsidR="00D26D33">
        <w:t xml:space="preserve"> publicado dentro del </w:t>
      </w:r>
      <w:proofErr w:type="spellStart"/>
      <w:r w:rsidR="00D26D33">
        <w:t>Micrositie</w:t>
      </w:r>
      <w:proofErr w:type="spellEnd"/>
      <w:r w:rsidR="00D26D33">
        <w:t xml:space="preserve"> de la comisión.</w:t>
      </w:r>
    </w:p>
    <w:p w:rsidR="007C3F65" w:rsidRPr="00A14BF0" w:rsidRDefault="00CD5D07" w:rsidP="00CD5D07">
      <w:pPr>
        <w:spacing w:after="0" w:line="240" w:lineRule="auto"/>
        <w:jc w:val="both"/>
      </w:pPr>
      <w:r>
        <w:t xml:space="preserve"> </w:t>
      </w:r>
    </w:p>
    <w:p w:rsidR="007C3F65" w:rsidRDefault="007C3F65" w:rsidP="007C3F65">
      <w:r>
        <w:t xml:space="preserve">En segundo lugar, </w:t>
      </w:r>
      <w:r w:rsidR="00CD5D07">
        <w:t>las subcomisiones comentaron los lineamientos y acciones en las que viene trabajando:</w:t>
      </w:r>
    </w:p>
    <w:p w:rsidR="007C3F65" w:rsidRDefault="007C3F65" w:rsidP="007C3F65">
      <w:pPr>
        <w:rPr>
          <w:b/>
        </w:rPr>
      </w:pPr>
      <w:r w:rsidRPr="00A14BF0">
        <w:rPr>
          <w:b/>
        </w:rPr>
        <w:t>Sub Comisión de Emergencias</w:t>
      </w:r>
      <w:r>
        <w:rPr>
          <w:b/>
        </w:rPr>
        <w:t>:</w:t>
      </w:r>
    </w:p>
    <w:p w:rsidR="007C3F65" w:rsidRDefault="004078E0" w:rsidP="007C3F65">
      <w:pPr>
        <w:pStyle w:val="Prrafodelista"/>
        <w:numPr>
          <w:ilvl w:val="0"/>
          <w:numId w:val="2"/>
        </w:numPr>
      </w:pPr>
      <w:r>
        <w:t xml:space="preserve">Se seleccionó la </w:t>
      </w:r>
      <w:r w:rsidR="00CD5D07">
        <w:t xml:space="preserve"> </w:t>
      </w:r>
      <w:r w:rsidR="00CD5D07" w:rsidRPr="00421C03">
        <w:t xml:space="preserve">escuela primaria </w:t>
      </w:r>
      <w:r>
        <w:t xml:space="preserve"> para llevar adelante el simulacro de evacuación, ESC. </w:t>
      </w:r>
      <w:r w:rsidR="00CD5D07">
        <w:t>Gobernador Escullen 6033</w:t>
      </w:r>
      <w:r>
        <w:t>, la misma</w:t>
      </w:r>
      <w:r w:rsidRPr="004078E0">
        <w:t xml:space="preserve"> </w:t>
      </w:r>
      <w:r>
        <w:t xml:space="preserve">está domiciliada en  Av. San Martin 245 de la ciudad de Puerto San Martin. Este establecimiento fue elegido para realizar el ejercicio por encontrarse ubicado frente a una estación de servicio Shell, con lo </w:t>
      </w:r>
      <w:r w:rsidR="002D7019">
        <w:t xml:space="preserve">cual el incidente </w:t>
      </w:r>
      <w:r w:rsidR="00D81E4E">
        <w:t>seria:</w:t>
      </w:r>
      <w:r w:rsidR="002D7019">
        <w:t xml:space="preserve"> Derrame de hidrocarburo seguido  de incendio.</w:t>
      </w:r>
    </w:p>
    <w:p w:rsidR="002D7019" w:rsidRDefault="002D7019" w:rsidP="002D7019">
      <w:pPr>
        <w:pStyle w:val="Prrafodelista"/>
      </w:pPr>
    </w:p>
    <w:p w:rsidR="004078E0" w:rsidRDefault="004078E0" w:rsidP="007C3F65">
      <w:pPr>
        <w:pStyle w:val="Prrafodelista"/>
        <w:numPr>
          <w:ilvl w:val="0"/>
          <w:numId w:val="2"/>
        </w:numPr>
      </w:pPr>
      <w:r>
        <w:lastRenderedPageBreak/>
        <w:t xml:space="preserve">Solicitaron se </w:t>
      </w:r>
      <w:r w:rsidR="00D26D33">
        <w:t>evalué</w:t>
      </w:r>
      <w:r>
        <w:t xml:space="preserve"> con las autoridades municipales la posibilidad de  unificar entre todas las empresas que forman parte de la comisión la prueba </w:t>
      </w:r>
      <w:r w:rsidR="000470ED">
        <w:t xml:space="preserve"> de alarmas de </w:t>
      </w:r>
      <w:r>
        <w:t>emergencias semanales</w:t>
      </w:r>
      <w:r w:rsidR="000470ED">
        <w:t>, de forma</w:t>
      </w:r>
      <w:r>
        <w:t xml:space="preserve"> tal que se hagan en un mismo día y h</w:t>
      </w:r>
      <w:r w:rsidR="00E61032">
        <w:t>orario, gestión que comenzará con un sondeo en los municipios.</w:t>
      </w:r>
    </w:p>
    <w:p w:rsidR="007C3F65" w:rsidRDefault="007C3F65" w:rsidP="007C3F65">
      <w:pPr>
        <w:rPr>
          <w:b/>
        </w:rPr>
      </w:pPr>
      <w:r w:rsidRPr="00A14BF0">
        <w:rPr>
          <w:b/>
        </w:rPr>
        <w:t>Sub Comisión Técnica</w:t>
      </w:r>
      <w:r>
        <w:rPr>
          <w:b/>
        </w:rPr>
        <w:t>:</w:t>
      </w:r>
    </w:p>
    <w:p w:rsidR="007C3F65" w:rsidRDefault="004078E0" w:rsidP="007C3F65">
      <w:pPr>
        <w:pStyle w:val="Prrafodelista"/>
        <w:numPr>
          <w:ilvl w:val="0"/>
          <w:numId w:val="5"/>
        </w:numPr>
      </w:pPr>
      <w:r>
        <w:t>Se encuentran relevando al interior de la sub comisión los requisito</w:t>
      </w:r>
      <w:r w:rsidR="000470ED">
        <w:t>s</w:t>
      </w:r>
      <w:r>
        <w:t xml:space="preserve"> de ingreso a planta para</w:t>
      </w:r>
      <w:r w:rsidR="007C3F65">
        <w:t xml:space="preserve"> contratistas</w:t>
      </w:r>
      <w:r w:rsidR="000470ED">
        <w:t xml:space="preserve"> que solicitan actualmente</w:t>
      </w:r>
      <w:r w:rsidR="007C3F65">
        <w:t xml:space="preserve">, </w:t>
      </w:r>
      <w:r>
        <w:t>a fin de determinar coincidencias y diferencias para luego crear  y acordar un documento / planilla de requisitos  que sea común a todas la empresas miembros y este acorde con las exigencias de la ley. De esta manera se busca ordenar el ingreso de los mismos a las plantas de la región.</w:t>
      </w:r>
    </w:p>
    <w:p w:rsidR="00D26D33" w:rsidRPr="00D26D33" w:rsidRDefault="004078E0" w:rsidP="007C3F65">
      <w:r w:rsidRPr="004078E0">
        <w:t>En tercer lugar</w:t>
      </w:r>
      <w:r w:rsidR="00D26D33">
        <w:t xml:space="preserve"> se definió avanzar con la donación de trajes estructurales para Bomberos Zapadores de San Lorenzo, se pedirán tres presupuestos y se procederá a la comprar de los mismos,  asimismo </w:t>
      </w:r>
      <w:r>
        <w:rPr>
          <w:b/>
        </w:rPr>
        <w:t xml:space="preserve"> </w:t>
      </w:r>
      <w:r w:rsidR="00D26D33" w:rsidRPr="00D26D33">
        <w:t xml:space="preserve">se le solicitará a los bomberos </w:t>
      </w:r>
      <w:r w:rsidR="000470ED">
        <w:t xml:space="preserve">que </w:t>
      </w:r>
      <w:r w:rsidR="00D26D33" w:rsidRPr="00D26D33">
        <w:t>brinde</w:t>
      </w:r>
      <w:r w:rsidR="00D26D33">
        <w:t>n</w:t>
      </w:r>
      <w:r w:rsidR="00D26D33" w:rsidRPr="00D26D33">
        <w:t xml:space="preserve"> como contraprestación una capacitación a cada </w:t>
      </w:r>
      <w:r w:rsidR="000470ED">
        <w:t xml:space="preserve">una de las </w:t>
      </w:r>
      <w:r w:rsidR="00D26D33" w:rsidRPr="00D26D33">
        <w:t>empresa</w:t>
      </w:r>
      <w:r w:rsidR="000470ED">
        <w:t xml:space="preserve">s </w:t>
      </w:r>
      <w:r w:rsidR="00D26D33">
        <w:t>que realice</w:t>
      </w:r>
      <w:r w:rsidR="000470ED">
        <w:t>n</w:t>
      </w:r>
      <w:r w:rsidR="00D26D33">
        <w:t xml:space="preserve"> aportes, basándose la misma en las necesidades de cada empresa.</w:t>
      </w:r>
    </w:p>
    <w:p w:rsidR="007C3F65" w:rsidRDefault="000470ED" w:rsidP="007C3F65">
      <w:bookmarkStart w:id="0" w:name="_GoBack"/>
      <w:bookmarkEnd w:id="0"/>
      <w:r>
        <w:t xml:space="preserve">Finalmente se consensuo, dada la nueva modalidad de trabajo de la comisión, que las reuniones en planta se realizaran ante la postulación espontanea de aquellas empresas </w:t>
      </w:r>
      <w:r w:rsidR="00E61032">
        <w:t xml:space="preserve">que </w:t>
      </w:r>
      <w:r>
        <w:t>puedan recibir a todos los integrantes de la comisión  y brindar un espacio para el trabajo de sub comisiones</w:t>
      </w:r>
      <w:r w:rsidR="00E61032">
        <w:t>, previo a la reunión ordinaria, o bien cuando autónomamente lo decida cada sub comisión ante su necesidad.</w:t>
      </w:r>
    </w:p>
    <w:p w:rsidR="000470ED" w:rsidRDefault="000470ED" w:rsidP="007C3F65"/>
    <w:p w:rsidR="009C7C2E" w:rsidRDefault="009C7C2E"/>
    <w:sectPr w:rsidR="009C7C2E" w:rsidSect="00C1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A3"/>
    <w:multiLevelType w:val="hybridMultilevel"/>
    <w:tmpl w:val="FFF61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A3973"/>
    <w:multiLevelType w:val="hybridMultilevel"/>
    <w:tmpl w:val="6CC66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95C17"/>
    <w:multiLevelType w:val="hybridMultilevel"/>
    <w:tmpl w:val="3EDA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5962"/>
    <w:multiLevelType w:val="hybridMultilevel"/>
    <w:tmpl w:val="8962F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94BF2"/>
    <w:multiLevelType w:val="hybridMultilevel"/>
    <w:tmpl w:val="8CFAEC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45678"/>
    <w:multiLevelType w:val="hybridMultilevel"/>
    <w:tmpl w:val="1D46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3F65"/>
    <w:rsid w:val="000470ED"/>
    <w:rsid w:val="002D7019"/>
    <w:rsid w:val="004078E0"/>
    <w:rsid w:val="007C3F65"/>
    <w:rsid w:val="00825A51"/>
    <w:rsid w:val="00975EE0"/>
    <w:rsid w:val="009C7C2E"/>
    <w:rsid w:val="00CD5D07"/>
    <w:rsid w:val="00D26D33"/>
    <w:rsid w:val="00D81E4E"/>
    <w:rsid w:val="00E6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F65"/>
    <w:pPr>
      <w:ind w:left="720"/>
      <w:contextualSpacing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2014-04-10T13:45:00Z</cp:lastPrinted>
  <dcterms:created xsi:type="dcterms:W3CDTF">2014-04-09T12:22:00Z</dcterms:created>
  <dcterms:modified xsi:type="dcterms:W3CDTF">2014-04-10T13:58:00Z</dcterms:modified>
</cp:coreProperties>
</file>